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BFF0" w14:textId="77777777" w:rsidR="00B42D77" w:rsidRPr="006F5769" w:rsidRDefault="00B42D77" w:rsidP="006F5769">
      <w:pPr>
        <w:jc w:val="both"/>
        <w:rPr>
          <w:b/>
          <w:bCs/>
          <w:sz w:val="28"/>
          <w:szCs w:val="28"/>
        </w:rPr>
      </w:pPr>
      <w:r w:rsidRPr="006F5769">
        <w:rPr>
          <w:b/>
          <w:bCs/>
          <w:sz w:val="28"/>
          <w:szCs w:val="28"/>
        </w:rPr>
        <w:t>Supporting organizations</w:t>
      </w:r>
    </w:p>
    <w:p w14:paraId="21802485" w14:textId="77777777" w:rsidR="00B42D77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JJVS have been supported by various national, international development</w:t>
      </w:r>
    </w:p>
    <w:p w14:paraId="4C05BCFC" w14:textId="77777777" w:rsidR="00B42D77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organizations as well as government agencies from time to time. Following are</w:t>
      </w:r>
    </w:p>
    <w:p w14:paraId="132FF201" w14:textId="77777777" w:rsidR="00B42D77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the support agencies that have collaborated with the organization.</w:t>
      </w:r>
    </w:p>
    <w:p w14:paraId="3163DDC4" w14:textId="3D8A3222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Catholic Relief Services</w:t>
      </w:r>
    </w:p>
    <w:p w14:paraId="205329DB" w14:textId="43183CA4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MISEROR</w:t>
      </w:r>
    </w:p>
    <w:p w14:paraId="31796CF5" w14:textId="5E52F73A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SPWD</w:t>
      </w:r>
    </w:p>
    <w:p w14:paraId="1A55C7E6" w14:textId="418CD8CF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F5769">
        <w:rPr>
          <w:sz w:val="28"/>
          <w:szCs w:val="28"/>
        </w:rPr>
        <w:t>Siemenpuu</w:t>
      </w:r>
      <w:proofErr w:type="spellEnd"/>
      <w:r w:rsidRPr="006F5769">
        <w:rPr>
          <w:sz w:val="28"/>
          <w:szCs w:val="28"/>
        </w:rPr>
        <w:t xml:space="preserve"> Foundation</w:t>
      </w:r>
    </w:p>
    <w:p w14:paraId="67E294AD" w14:textId="1A4DD37A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Karl </w:t>
      </w:r>
      <w:proofErr w:type="spellStart"/>
      <w:r w:rsidRPr="006F5769">
        <w:rPr>
          <w:sz w:val="28"/>
          <w:szCs w:val="28"/>
        </w:rPr>
        <w:t>Kubel</w:t>
      </w:r>
      <w:proofErr w:type="spellEnd"/>
      <w:r w:rsidRPr="006F5769">
        <w:rPr>
          <w:sz w:val="28"/>
          <w:szCs w:val="28"/>
        </w:rPr>
        <w:t xml:space="preserve"> Stiftung, Germany</w:t>
      </w:r>
    </w:p>
    <w:p w14:paraId="7A6E8DAE" w14:textId="19A6E5BB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FORD Foundation</w:t>
      </w:r>
    </w:p>
    <w:p w14:paraId="7E3E4E6F" w14:textId="3A840F4D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Big Lottery Fund, U.K.</w:t>
      </w:r>
    </w:p>
    <w:p w14:paraId="2211B2CD" w14:textId="7F0F3394" w:rsidR="00B42D77" w:rsidRPr="006F5769" w:rsidRDefault="00B42D77" w:rsidP="006F57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ADD MORE----- FROM THE BEGINING</w:t>
      </w:r>
    </w:p>
    <w:p w14:paraId="1C051880" w14:textId="77777777" w:rsidR="00B42D77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OUR Networks</w:t>
      </w:r>
    </w:p>
    <w:p w14:paraId="0A89988E" w14:textId="77777777" w:rsidR="00B42D77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JJVS is a member of international, national, and regional networks listed below:</w:t>
      </w:r>
    </w:p>
    <w:p w14:paraId="5BAE3FF3" w14:textId="7E3F1D57" w:rsidR="00B42D77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National Adivasi Alliance (NAA)</w:t>
      </w:r>
    </w:p>
    <w:p w14:paraId="46D8283D" w14:textId="2BFC403A" w:rsidR="00B42D77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Forum of Rajasthan Development (FORD)</w:t>
      </w:r>
    </w:p>
    <w:p w14:paraId="6D8C99A1" w14:textId="25A562A9" w:rsidR="00B42D77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5769">
        <w:rPr>
          <w:sz w:val="28"/>
          <w:szCs w:val="28"/>
        </w:rPr>
        <w:t>Commact</w:t>
      </w:r>
      <w:proofErr w:type="spellEnd"/>
      <w:r w:rsidRPr="006F5769">
        <w:rPr>
          <w:sz w:val="28"/>
          <w:szCs w:val="28"/>
        </w:rPr>
        <w:t xml:space="preserve"> International – Common Wealth Network for People-</w:t>
      </w:r>
      <w:proofErr w:type="spellStart"/>
      <w:r w:rsidRPr="006F5769">
        <w:rPr>
          <w:sz w:val="28"/>
          <w:szCs w:val="28"/>
        </w:rPr>
        <w:t>centered</w:t>
      </w:r>
      <w:proofErr w:type="spellEnd"/>
    </w:p>
    <w:p w14:paraId="45EE9DCA" w14:textId="77777777" w:rsidR="00B42D77" w:rsidRPr="006F5769" w:rsidRDefault="00B42D77" w:rsidP="006F5769">
      <w:pPr>
        <w:pStyle w:val="ListParagraph"/>
        <w:jc w:val="both"/>
        <w:rPr>
          <w:sz w:val="28"/>
          <w:szCs w:val="28"/>
        </w:rPr>
      </w:pPr>
      <w:r w:rsidRPr="006F5769">
        <w:rPr>
          <w:sz w:val="28"/>
          <w:szCs w:val="28"/>
        </w:rPr>
        <w:t>Development</w:t>
      </w:r>
    </w:p>
    <w:p w14:paraId="6E28223A" w14:textId="6416312C" w:rsidR="00B42D77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Bharat Jan </w:t>
      </w:r>
      <w:proofErr w:type="spellStart"/>
      <w:r w:rsidRPr="006F5769">
        <w:rPr>
          <w:sz w:val="28"/>
          <w:szCs w:val="28"/>
        </w:rPr>
        <w:t>Andolan</w:t>
      </w:r>
      <w:proofErr w:type="spellEnd"/>
      <w:r w:rsidRPr="006F5769">
        <w:rPr>
          <w:sz w:val="28"/>
          <w:szCs w:val="28"/>
        </w:rPr>
        <w:t xml:space="preserve"> (Indian People’s Movement)</w:t>
      </w:r>
    </w:p>
    <w:p w14:paraId="76CFE831" w14:textId="210B8D0C" w:rsidR="00B42D77" w:rsidRPr="006F5769" w:rsidRDefault="00B42D77" w:rsidP="006F5769">
      <w:pPr>
        <w:jc w:val="both"/>
        <w:rPr>
          <w:sz w:val="28"/>
          <w:szCs w:val="28"/>
        </w:rPr>
      </w:pPr>
    </w:p>
    <w:p w14:paraId="304E25AC" w14:textId="77777777" w:rsidR="00B42D77" w:rsidRPr="006F5769" w:rsidRDefault="00B42D77" w:rsidP="006F5769">
      <w:pPr>
        <w:jc w:val="both"/>
        <w:rPr>
          <w:b/>
          <w:bCs/>
          <w:sz w:val="28"/>
          <w:szCs w:val="28"/>
        </w:rPr>
      </w:pPr>
      <w:r w:rsidRPr="006F5769">
        <w:rPr>
          <w:b/>
          <w:bCs/>
          <w:sz w:val="28"/>
          <w:szCs w:val="28"/>
        </w:rPr>
        <w:t>Documentation/Publication</w:t>
      </w:r>
    </w:p>
    <w:p w14:paraId="21DF7EC4" w14:textId="5981EA20" w:rsidR="006A1160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The work of any social service organization </w:t>
      </w:r>
      <w:proofErr w:type="spellStart"/>
      <w:r w:rsidRPr="006F5769">
        <w:rPr>
          <w:sz w:val="28"/>
          <w:szCs w:val="28"/>
        </w:rPr>
        <w:t>can not</w:t>
      </w:r>
      <w:proofErr w:type="spellEnd"/>
      <w:r w:rsidRPr="006F5769">
        <w:rPr>
          <w:sz w:val="28"/>
          <w:szCs w:val="28"/>
        </w:rPr>
        <w:t xml:space="preserve"> be regarded as satisfactory until it is not</w:t>
      </w:r>
      <w:r w:rsid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documented. </w:t>
      </w:r>
      <w:proofErr w:type="spellStart"/>
      <w:r w:rsidRPr="006F5769">
        <w:rPr>
          <w:sz w:val="28"/>
          <w:szCs w:val="28"/>
        </w:rPr>
        <w:t>Jagaran</w:t>
      </w:r>
      <w:proofErr w:type="spellEnd"/>
      <w:r w:rsidRPr="006F5769">
        <w:rPr>
          <w:sz w:val="28"/>
          <w:szCs w:val="28"/>
        </w:rPr>
        <w:t xml:space="preserve"> Jan Vikas Samiti documented their interventions and progress in various</w:t>
      </w:r>
      <w:r w:rsid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forms such as </w:t>
      </w:r>
    </w:p>
    <w:p w14:paraId="5558BD54" w14:textId="77777777" w:rsidR="006A1160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Dharam </w:t>
      </w:r>
      <w:proofErr w:type="spellStart"/>
      <w:r w:rsidRPr="006F5769">
        <w:rPr>
          <w:sz w:val="28"/>
          <w:szCs w:val="28"/>
        </w:rPr>
        <w:t>bagichi</w:t>
      </w:r>
      <w:proofErr w:type="spellEnd"/>
      <w:r w:rsidRPr="006F5769">
        <w:rPr>
          <w:sz w:val="28"/>
          <w:szCs w:val="28"/>
        </w:rPr>
        <w:t xml:space="preserve"> video,</w:t>
      </w:r>
    </w:p>
    <w:p w14:paraId="29AE7CCA" w14:textId="77777777" w:rsidR="006A1160" w:rsidRPr="006F5769" w:rsidRDefault="00B42D77" w:rsidP="006F5769">
      <w:pPr>
        <w:jc w:val="both"/>
        <w:rPr>
          <w:sz w:val="28"/>
          <w:szCs w:val="28"/>
        </w:rPr>
      </w:pPr>
      <w:r w:rsidRPr="006F5769">
        <w:rPr>
          <w:sz w:val="28"/>
          <w:szCs w:val="28"/>
        </w:rPr>
        <w:t>Information rich Books like</w:t>
      </w:r>
    </w:p>
    <w:p w14:paraId="6D80B6EC" w14:textId="3F7781CA" w:rsidR="006A1160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 </w:t>
      </w:r>
      <w:proofErr w:type="gramStart"/>
      <w:r w:rsidRPr="006F5769">
        <w:rPr>
          <w:sz w:val="28"/>
          <w:szCs w:val="28"/>
        </w:rPr>
        <w:t>Khazana(</w:t>
      </w:r>
      <w:proofErr w:type="gramEnd"/>
      <w:r w:rsidRPr="006F5769">
        <w:rPr>
          <w:sz w:val="28"/>
          <w:szCs w:val="28"/>
        </w:rPr>
        <w:t xml:space="preserve">1996), </w:t>
      </w:r>
    </w:p>
    <w:p w14:paraId="66AB09A5" w14:textId="77777777" w:rsidR="006A1160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5769">
        <w:rPr>
          <w:sz w:val="28"/>
          <w:szCs w:val="28"/>
        </w:rPr>
        <w:t>Guni</w:t>
      </w:r>
      <w:proofErr w:type="spellEnd"/>
      <w:r w:rsidR="006A1160" w:rsidRPr="006F5769">
        <w:rPr>
          <w:sz w:val="28"/>
          <w:szCs w:val="28"/>
        </w:rPr>
        <w:t xml:space="preserve"> </w:t>
      </w:r>
      <w:proofErr w:type="gramStart"/>
      <w:r w:rsidRPr="006F5769">
        <w:rPr>
          <w:sz w:val="28"/>
          <w:szCs w:val="28"/>
        </w:rPr>
        <w:t>Darshan(</w:t>
      </w:r>
      <w:proofErr w:type="gramEnd"/>
      <w:r w:rsidRPr="006F5769">
        <w:rPr>
          <w:sz w:val="28"/>
          <w:szCs w:val="28"/>
        </w:rPr>
        <w:t xml:space="preserve">1997), </w:t>
      </w:r>
    </w:p>
    <w:p w14:paraId="29803505" w14:textId="77777777" w:rsidR="006A1160" w:rsidRP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Medicinal Plants of Udaipur </w:t>
      </w:r>
      <w:proofErr w:type="gramStart"/>
      <w:r w:rsidRPr="006F5769">
        <w:rPr>
          <w:sz w:val="28"/>
          <w:szCs w:val="28"/>
        </w:rPr>
        <w:t>District(</w:t>
      </w:r>
      <w:proofErr w:type="gramEnd"/>
      <w:r w:rsidRPr="006F5769">
        <w:rPr>
          <w:sz w:val="28"/>
          <w:szCs w:val="28"/>
        </w:rPr>
        <w:t xml:space="preserve">1998) and </w:t>
      </w:r>
    </w:p>
    <w:p w14:paraId="438D690B" w14:textId="77777777" w:rsidR="006F5769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 Pharmacopoeia (1998)</w:t>
      </w:r>
      <w:r w:rsidR="006A1160" w:rsidRPr="006F5769">
        <w:rPr>
          <w:sz w:val="28"/>
          <w:szCs w:val="28"/>
        </w:rPr>
        <w:t xml:space="preserve"> - </w:t>
      </w:r>
      <w:r w:rsidRPr="006F5769">
        <w:rPr>
          <w:sz w:val="28"/>
          <w:szCs w:val="28"/>
        </w:rPr>
        <w:t xml:space="preserve">The </w:t>
      </w: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 </w:t>
      </w:r>
      <w:proofErr w:type="spellStart"/>
      <w:r w:rsidRPr="006F5769">
        <w:rPr>
          <w:sz w:val="28"/>
          <w:szCs w:val="28"/>
        </w:rPr>
        <w:t>Pharmocopia</w:t>
      </w:r>
      <w:proofErr w:type="spellEnd"/>
      <w:r w:rsidRPr="006F5769">
        <w:rPr>
          <w:sz w:val="28"/>
          <w:szCs w:val="28"/>
        </w:rPr>
        <w:t xml:space="preserve"> has botanical names of 36 different genera of herbs. This book deals with</w:t>
      </w:r>
      <w:r w:rsidR="006A1160"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the 80 different </w:t>
      </w: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lastRenderedPageBreak/>
        <w:t>formulations used for treatment of 24 different human ailments like</w:t>
      </w:r>
      <w:r w:rsidR="006A1160"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Asthma, ulcer, rheumatism, </w:t>
      </w:r>
      <w:proofErr w:type="spellStart"/>
      <w:r w:rsidRPr="006F5769">
        <w:rPr>
          <w:sz w:val="28"/>
          <w:szCs w:val="28"/>
        </w:rPr>
        <w:t>eczyma</w:t>
      </w:r>
      <w:proofErr w:type="spellEnd"/>
      <w:r w:rsidRPr="006F5769">
        <w:rPr>
          <w:sz w:val="28"/>
          <w:szCs w:val="28"/>
        </w:rPr>
        <w:t xml:space="preserve">, external </w:t>
      </w:r>
      <w:proofErr w:type="spellStart"/>
      <w:r w:rsidRPr="006F5769">
        <w:rPr>
          <w:sz w:val="28"/>
          <w:szCs w:val="28"/>
        </w:rPr>
        <w:t>tumor</w:t>
      </w:r>
      <w:proofErr w:type="spellEnd"/>
      <w:r w:rsidRPr="006F5769">
        <w:rPr>
          <w:sz w:val="28"/>
          <w:szCs w:val="28"/>
        </w:rPr>
        <w:t xml:space="preserve">, internal </w:t>
      </w:r>
      <w:proofErr w:type="spellStart"/>
      <w:r w:rsidRPr="006F5769">
        <w:rPr>
          <w:sz w:val="28"/>
          <w:szCs w:val="28"/>
        </w:rPr>
        <w:t>tumor</w:t>
      </w:r>
      <w:proofErr w:type="spellEnd"/>
      <w:r w:rsidRPr="006F5769">
        <w:rPr>
          <w:sz w:val="28"/>
          <w:szCs w:val="28"/>
        </w:rPr>
        <w:t>, kidney stone, tooth-ache,</w:t>
      </w:r>
      <w:r w:rsidR="006A1160"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piles, epilepsy, bronchitis, typhoid and ladies </w:t>
      </w:r>
      <w:proofErr w:type="spellStart"/>
      <w:r w:rsidRPr="006F5769">
        <w:rPr>
          <w:sz w:val="28"/>
          <w:szCs w:val="28"/>
        </w:rPr>
        <w:t>discases</w:t>
      </w:r>
      <w:proofErr w:type="spellEnd"/>
      <w:r w:rsidRPr="006F5769">
        <w:rPr>
          <w:sz w:val="28"/>
          <w:szCs w:val="28"/>
        </w:rPr>
        <w:t xml:space="preserve"> like uterus-setting, leucorrhoea, lactation</w:t>
      </w:r>
      <w:r w:rsidR="006A1160"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>etc.</w:t>
      </w:r>
    </w:p>
    <w:p w14:paraId="13D100A2" w14:textId="4C9C189F" w:rsidR="00B42D77" w:rsidRDefault="00B42D77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F5769">
        <w:rPr>
          <w:sz w:val="28"/>
          <w:szCs w:val="28"/>
        </w:rPr>
        <w:t xml:space="preserve"> “Gaon Ka</w:t>
      </w:r>
      <w:r w:rsidR="006A1160" w:rsidRPr="006F5769">
        <w:rPr>
          <w:sz w:val="28"/>
          <w:szCs w:val="28"/>
        </w:rPr>
        <w:t xml:space="preserve"> </w:t>
      </w: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” which depicts various </w:t>
      </w:r>
      <w:proofErr w:type="spellStart"/>
      <w:r w:rsidRPr="006F5769">
        <w:rPr>
          <w:sz w:val="28"/>
          <w:szCs w:val="28"/>
        </w:rPr>
        <w:t>Guni</w:t>
      </w:r>
      <w:proofErr w:type="spellEnd"/>
      <w:r w:rsidRPr="006F5769">
        <w:rPr>
          <w:sz w:val="28"/>
          <w:szCs w:val="28"/>
        </w:rPr>
        <w:t xml:space="preserve"> formations along with the bio-data and photographs of </w:t>
      </w:r>
      <w:proofErr w:type="spellStart"/>
      <w:r w:rsidRPr="006F5769">
        <w:rPr>
          <w:sz w:val="28"/>
          <w:szCs w:val="28"/>
        </w:rPr>
        <w:t>Gunis</w:t>
      </w:r>
      <w:proofErr w:type="spellEnd"/>
      <w:r w:rsidRPr="006F5769">
        <w:rPr>
          <w:sz w:val="28"/>
          <w:szCs w:val="28"/>
        </w:rPr>
        <w:t>.</w:t>
      </w:r>
      <w:r w:rsidR="006A1160" w:rsidRPr="006F5769">
        <w:rPr>
          <w:sz w:val="28"/>
          <w:szCs w:val="28"/>
        </w:rPr>
        <w:t xml:space="preserve"> </w:t>
      </w:r>
      <w:r w:rsidRPr="006F5769">
        <w:rPr>
          <w:sz w:val="28"/>
          <w:szCs w:val="28"/>
        </w:rPr>
        <w:t xml:space="preserve">These formulations are used in the treatment of various diseases of human beings and </w:t>
      </w:r>
      <w:proofErr w:type="spellStart"/>
      <w:r w:rsidRPr="006F5769">
        <w:rPr>
          <w:sz w:val="28"/>
          <w:szCs w:val="28"/>
        </w:rPr>
        <w:t>livestocks</w:t>
      </w:r>
      <w:proofErr w:type="spellEnd"/>
      <w:r w:rsidRPr="006F5769">
        <w:rPr>
          <w:sz w:val="28"/>
          <w:szCs w:val="28"/>
        </w:rPr>
        <w:t>.</w:t>
      </w:r>
    </w:p>
    <w:p w14:paraId="1B696946" w14:textId="77777777" w:rsidR="006F5769" w:rsidRPr="006F5769" w:rsidRDefault="006F5769" w:rsidP="006F57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</w:p>
    <w:sectPr w:rsidR="006F5769" w:rsidRPr="006F5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3817"/>
    <w:multiLevelType w:val="hybridMultilevel"/>
    <w:tmpl w:val="1DAEF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653"/>
    <w:multiLevelType w:val="hybridMultilevel"/>
    <w:tmpl w:val="A81E1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7"/>
    <w:rsid w:val="006A1160"/>
    <w:rsid w:val="006F5769"/>
    <w:rsid w:val="00B4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9A7E"/>
  <w15:chartTrackingRefBased/>
  <w15:docId w15:val="{3C623112-2696-4E6E-B591-A32CA34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bapna</dc:creator>
  <cp:keywords/>
  <dc:description/>
  <cp:lastModifiedBy>anushree bapna</cp:lastModifiedBy>
  <cp:revision>4</cp:revision>
  <dcterms:created xsi:type="dcterms:W3CDTF">2020-03-13T12:02:00Z</dcterms:created>
  <dcterms:modified xsi:type="dcterms:W3CDTF">2020-03-14T09:43:00Z</dcterms:modified>
</cp:coreProperties>
</file>